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附</w:t>
      </w:r>
      <w:r>
        <w:rPr>
          <w:rFonts w:hint="eastAsia" w:ascii="黑体" w:hAnsi="黑体" w:eastAsia="黑体"/>
          <w:sz w:val="32"/>
        </w:rPr>
        <w:t>件1</w:t>
      </w:r>
    </w:p>
    <w:p>
      <w:pPr>
        <w:ind w:firstLine="2160" w:firstLineChars="600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创客项目作品材料包提交须知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一、作品材料包清单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各市州于10月20日前登录湖北省教育资源公共服务平台-湖北教育云（http://www.hbeducloud.com）报名，并上传活动作品材料压缩包（含作品文件、报名表电子版及扫描版等），压缩包“文件夹”须统一格式，只能使用一级文件夹（即该级文件夹内不能再建文件夹），文件夹命名为“学校名称-作者姓名-作品名称”，文件夹内存放：1-演示视频；2-制作说明文档；3-汇报演示文稿；4-软硬件器材清单；5-1某编程源程序，5-2结构件图纸或源程序等；6-作者照片；7-报名表；8-其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二、项目作品界定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项目旨在锻炼学生观察生活和问题解决的能力，突出创新、创意和动手实践，不鼓励依赖高端器材或堆积器材数量。通过合理的结构设计、科学的元器件使用、恰当的技术运用、有效的功能实现，完成作品创作。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（一）《掌控未来》。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在电脑辅助下，运用mPython软件进行程序设计，</w:t>
      </w:r>
      <w:bookmarkStart w:id="0" w:name="_Hlk65131506"/>
      <w:r>
        <w:rPr>
          <w:rFonts w:hint="eastAsia" w:ascii="仿宋_GB2312" w:hAnsi="仿宋_GB2312" w:eastAsia="仿宋_GB2312" w:cs="仿宋_GB2312"/>
          <w:bCs/>
          <w:sz w:val="32"/>
          <w:szCs w:val="32"/>
        </w:rPr>
        <w:t>使用国产开源硬件及相关电子传感器进行动手制作，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最后再导入编制好的程序，制作出能够正常运行，实现既定功能，且体现多学科综合应用和创客文化的作品。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次活动以“智慧交通”为主题，参赛选手可以基于问题，建设一个实时、准确、高效、便捷的综合交通智能系统。参赛选手可从智能驾驶、城市轨道交通、智能化交通系统、路网监控等诸多领域出发选择一个关注的细节作为研究主题，使用国产开源硬件“掌控板”为创意工具，结合mPython编程软件，设计制作一个类如智能车库、自动驾驶汽车、疲劳驾驶提醒装置等具有实用和推广价值的创客作品。作品强调参赛选手结合学习和生活经验完成作品制作，充分体现创客文化与跨学科应用，完整展示其既定功能，并进行交流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二）《3D智造》。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3D智造是省组委会2021年新增展演项目。运用平台软件进行作品结构模型3D设计，通过3D打印方式制作出结构实物，使用智能硬件（各类智能硬件传感器、摄像头、舵机等），配合图形编程的各类指令功能，完成完整智创作品实物制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本次活动以“抗疫帮手”为主题，结合抗疫题材，提出创新解决方案，将3D设计打印与智能技术相结合，设计制作出实物智创作品。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小学高龄组、初中组、高中组：使用“IME3D青少年3D打印创新教育”平台软件进行作品结构设计及编程，作品体现学生对于生活中与疫情相关的实际事宜的关注，突出发现问题、思考问题、解决问题的过程，强调作品的创意和实用性，根据作品功能需要适当结合开源智能硬件，实现人机交互或人工智能功能。作品实物须通过3D设计与3D打印实现，可结合其他配件或连接件实现主体结构，非3D打印件不得超过总体结构的30%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小学低龄组：使用“IME3D KID智造万物”软件进行作品结构设计，作品突出疫情下生活的感想感受，突出学生对于疫情之下各行各业团结一心的情感认识，强调作品中真实情感的表达，根据学生实际年龄程度酌情使用具备一定集合功能的器件，体现对智能制造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三、评价标准及要求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（一）掌控未来项目</w:t>
      </w:r>
    </w:p>
    <w:tbl>
      <w:tblPr>
        <w:tblStyle w:val="2"/>
        <w:tblW w:w="89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5972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451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评审指标</w:t>
            </w:r>
          </w:p>
        </w:tc>
        <w:tc>
          <w:tcPr>
            <w:tcW w:w="597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指标描述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思想性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科学性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规范性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（12分）</w:t>
            </w:r>
          </w:p>
        </w:tc>
        <w:tc>
          <w:tcPr>
            <w:tcW w:w="5972" w:type="dxa"/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作品契合主题，内容健康向上。</w:t>
            </w:r>
          </w:p>
        </w:tc>
        <w:tc>
          <w:tcPr>
            <w:tcW w:w="1548" w:type="dxa"/>
            <w:vMerge w:val="restart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设计方案完备，有作品功能、结构、相关器件使用等内容。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制作过程中工具和相关器材使用规范；有详细的器材清单、作品源代码注释规范。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各功能实现的有效程度；作品的成品化程度，包括外观、封装，及整体的牢固程度、人机交互等界面友好等。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1451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创新性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（40分）</w:t>
            </w:r>
          </w:p>
        </w:tc>
        <w:tc>
          <w:tcPr>
            <w:tcW w:w="5972" w:type="dxa"/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功能、结构等具有新意，有一定的实用价值。</w:t>
            </w:r>
          </w:p>
        </w:tc>
        <w:tc>
          <w:tcPr>
            <w:tcW w:w="1548" w:type="dxa"/>
            <w:vMerge w:val="restart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功能细节实现方法有新意；功能设计能突破原有元器件的应用习惯。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451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艺术性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（8分）</w:t>
            </w:r>
          </w:p>
        </w:tc>
        <w:tc>
          <w:tcPr>
            <w:tcW w:w="5972" w:type="dxa"/>
            <w:noWrap w:val="0"/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设计具有美感，并能将美学与实用性相结合。</w:t>
            </w:r>
          </w:p>
        </w:tc>
        <w:tc>
          <w:tcPr>
            <w:tcW w:w="1548" w:type="dxa"/>
            <w:vMerge w:val="restart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作品具有一定想象力和个性表现力，能够表达作者的设计理念。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51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技术性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（30分）</w:t>
            </w: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整体结构设计合理；具有一定的功能性和复杂性。</w:t>
            </w:r>
          </w:p>
        </w:tc>
        <w:tc>
          <w:tcPr>
            <w:tcW w:w="1548" w:type="dxa"/>
            <w:vMerge w:val="restart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使用相关元器件等实现的硬件功能具有一定的科学性、复杂性，有技术含量。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软件设计功能明确、结构合理、代码优化、易于调试。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451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团队展示（10分）</w:t>
            </w: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能够很好的展现出作品的设计思路、制作过程和功能实现情况。</w:t>
            </w:r>
          </w:p>
        </w:tc>
        <w:tc>
          <w:tcPr>
            <w:tcW w:w="1548" w:type="dxa"/>
            <w:vMerge w:val="restart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451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59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团队协作分工明确、合理；团队成员充分参与、协作配合。</w:t>
            </w:r>
          </w:p>
        </w:tc>
        <w:tc>
          <w:tcPr>
            <w:tcW w:w="1548" w:type="dxa"/>
            <w:vMerge w:val="continue"/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（二）3D智造项目</w:t>
      </w:r>
    </w:p>
    <w:tbl>
      <w:tblPr>
        <w:tblStyle w:val="2"/>
        <w:tblW w:w="5142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3"/>
        <w:gridCol w:w="1404"/>
        <w:gridCol w:w="4956"/>
        <w:gridCol w:w="14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23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评审指标</w:t>
            </w:r>
          </w:p>
        </w:tc>
        <w:tc>
          <w:tcPr>
            <w:tcW w:w="49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1500" w:firstLineChars="500"/>
              <w:jc w:val="both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指标描述</w:t>
            </w:r>
          </w:p>
        </w:tc>
        <w:tc>
          <w:tcPr>
            <w:tcW w:w="14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983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演示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创新性</w:t>
            </w: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(13分）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作品具有原创性与独立思考的特征，而非简单复制已有物品。</w:t>
            </w:r>
          </w:p>
        </w:tc>
        <w:tc>
          <w:tcPr>
            <w:tcW w:w="14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98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实用性</w:t>
            </w: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(10分）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具备一定的实用价值，解决具体实际问题。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98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技术性</w:t>
            </w: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(10分）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作品设计合理，能有效体现3D打印技术优势，凸显增材制造特色并结合开源硬件。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98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完整性</w:t>
            </w: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（4分）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完整地设计并制作出作品，能够全部表达设计意图，实现预定功能。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983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美观性</w:t>
            </w: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（3分）</w:t>
            </w:r>
          </w:p>
        </w:tc>
        <w:tc>
          <w:tcPr>
            <w:tcW w:w="4956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作品结构合理，颜色搭配和谐，外形美观。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2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陈述答辩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（30分）</w:t>
            </w:r>
          </w:p>
        </w:tc>
        <w:tc>
          <w:tcPr>
            <w:tcW w:w="4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语言表达准确流畅，答辩思路清晰；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作品功能展示完整，现场可实现设计的预定功能。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238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技能操作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（30分）</w:t>
            </w:r>
          </w:p>
        </w:tc>
        <w:tc>
          <w:tcPr>
            <w:tcW w:w="49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设计作品的创意与完成质量。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80" w:lineRule="exact"/>
              <w:ind w:firstLine="600" w:firstLineChars="200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</w:tbl>
    <w:p>
      <w:pPr>
        <w:rPr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四、各项目规则说明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掌控未来、3D智造的制作规则按各项目的规则实施，具体细则以省教育云平台发布的为准。（ http://www.hbeducloud.com）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62B89"/>
    <w:rsid w:val="65B6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2021-09-22T01:38:00Z</dcterms:created>
  <dc:creator>姜新华</dc:creator>
  <cp:lastModifiedBy>姜新华</cp:lastModifiedBy>
  <dcterms:modified xsi:type="dcterms:W3CDTF">2021-09-22T01:39:05Z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CAA1B0767C72416F9BBDACD76FB99002</vt:lpwstr>
  </property>
</Properties>
</file>